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0" w:after="0"/>
        <w:ind w:left="0" w:right="0" w:hanging="0"/>
        <w:jc w:val="center"/>
        <w:rPr/>
      </w:pPr>
      <w:r>
        <w:rPr>
          <w:rFonts w:ascii="Times New Roman" w:hAnsi="Times New Roman"/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Style17"/>
        <w:spacing w:lineRule="auto" w:line="360" w:before="0" w:after="0"/>
        <w:ind w:left="0" w:right="0" w:hanging="0"/>
        <w:jc w:val="center"/>
        <w:rPr/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pStyle w:val="Style17"/>
        <w:spacing w:lineRule="auto" w:line="360" w:before="0" w:after="0"/>
        <w:ind w:left="0" w:right="0" w:hanging="0"/>
        <w:jc w:val="center"/>
        <w:rPr/>
      </w:pPr>
      <w:r>
        <w:rPr>
          <w:rFonts w:ascii="Times New Roman" w:hAnsi="Times New Roman"/>
          <w:sz w:val="28"/>
          <w:szCs w:val="28"/>
        </w:rPr>
        <w:t>ТОМСКИЙ ГОСУДАРСТВЕННЫЙ УНИВЕРСИТЕТ СИСТЕМ УПРАВЛЕНИЯ И РАДИОЭЛЕКТРОНИКИ (ТУСУР)</w:t>
      </w:r>
    </w:p>
    <w:p>
      <w:pPr>
        <w:pStyle w:val="Style17"/>
        <w:spacing w:lineRule="auto" w:line="360" w:before="0" w:after="0"/>
        <w:ind w:left="0" w:right="0" w:hanging="0"/>
        <w:jc w:val="center"/>
        <w:rPr/>
      </w:pPr>
      <w:r>
        <w:rPr>
          <w:rFonts w:ascii="Times New Roman" w:hAnsi="Times New Roman"/>
          <w:sz w:val="28"/>
          <w:szCs w:val="28"/>
        </w:rPr>
        <w:t>Кафедра автоматизированных систем управления (АСУ)</w:t>
      </w:r>
    </w:p>
    <w:p>
      <w:pPr>
        <w:pStyle w:val="Normal"/>
        <w:spacing w:lineRule="auto" w:line="360"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left="0" w:right="0" w:hanging="0"/>
        <w:jc w:val="center"/>
        <w:rPr/>
      </w:pPr>
      <w:r>
        <w:rPr>
          <w:rStyle w:val="Fontstyle01"/>
          <w:rFonts w:ascii="Times New Roman" w:hAnsi="Times New Roman"/>
        </w:rPr>
        <w:t>Отчёт по лабораторной работе №3</w:t>
      </w:r>
      <w:r>
        <w:rPr>
          <w:rFonts w:ascii="Times New Roman" w:hAnsi="Times New Roman"/>
          <w:color w:val="000000"/>
          <w:sz w:val="28"/>
          <w:szCs w:val="28"/>
        </w:rPr>
        <w:br/>
      </w:r>
      <w:r>
        <w:rPr>
          <w:rStyle w:val="Fontstyle01"/>
          <w:rFonts w:ascii="Times New Roman" w:hAnsi="Times New Roman"/>
        </w:rPr>
        <w:t>«Меры защиты человека от поражения электрическим током в жилых и офисных помещениях»</w:t>
      </w:r>
      <w:r>
        <w:rPr>
          <w:rFonts w:ascii="Times New Roman" w:hAnsi="Times New Roman"/>
          <w:color w:val="000000"/>
          <w:sz w:val="28"/>
          <w:szCs w:val="28"/>
        </w:rPr>
        <w:br/>
      </w:r>
      <w:r>
        <w:rPr>
          <w:rStyle w:val="Fontstyle01"/>
          <w:rFonts w:ascii="Times New Roman" w:hAnsi="Times New Roman"/>
        </w:rPr>
        <w:t>по дисциплине «Безопасность жизнедеятельности»</w:t>
      </w:r>
    </w:p>
    <w:p>
      <w:pPr>
        <w:pStyle w:val="Normal"/>
        <w:spacing w:lineRule="auto" w:line="360"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bidi w:val="0"/>
        <w:spacing w:lineRule="auto" w:line="360" w:before="0" w:after="0"/>
        <w:ind w:left="0" w:right="0" w:hanging="0"/>
        <w:jc w:val="right"/>
        <w:rPr/>
      </w:pPr>
      <w:r>
        <w:rPr>
          <w:rFonts w:ascii="Times New Roman" w:hAnsi="Times New Roman"/>
          <w:sz w:val="28"/>
          <w:szCs w:val="28"/>
        </w:rPr>
        <w:t>Выполнили студенты гр. 430-1</w:t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bidi w:val="0"/>
        <w:spacing w:lineRule="auto" w:line="360" w:before="0" w:after="0"/>
        <w:ind w:left="0" w:right="0" w:hanging="0"/>
        <w:jc w:val="right"/>
        <w:rPr/>
      </w:pPr>
      <w:r>
        <w:rPr>
          <w:rFonts w:ascii="Times New Roman" w:hAnsi="Times New Roman"/>
          <w:sz w:val="28"/>
          <w:szCs w:val="28"/>
        </w:rPr>
        <w:t xml:space="preserve">___________ Горкольцева Д.Е. </w:t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overflowPunct w:val="true"/>
        <w:bidi w:val="0"/>
        <w:spacing w:lineRule="auto" w:line="360" w:before="0" w:after="0"/>
        <w:ind w:left="0" w:right="113" w:hanging="0"/>
        <w:jc w:val="right"/>
        <w:rPr/>
      </w:pPr>
      <w:r>
        <w:rPr>
          <w:rFonts w:ascii="Times New Roman" w:hAnsi="Times New Roman"/>
          <w:sz w:val="28"/>
          <w:szCs w:val="28"/>
        </w:rPr>
        <w:t>___________ Кондратьев С.А.</w:t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overflowPunct w:val="true"/>
        <w:bidi w:val="0"/>
        <w:spacing w:lineRule="auto" w:line="360" w:before="0" w:after="0"/>
        <w:ind w:left="0" w:right="57" w:hanging="0"/>
        <w:jc w:val="right"/>
        <w:rPr/>
      </w:pPr>
      <w:r>
        <w:rPr>
          <w:rFonts w:ascii="Times New Roman" w:hAnsi="Times New Roman"/>
          <w:sz w:val="28"/>
          <w:szCs w:val="28"/>
        </w:rPr>
        <w:t>______________ Кошелев Л.Р.</w:t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overflowPunct w:val="true"/>
        <w:bidi w:val="0"/>
        <w:spacing w:lineRule="auto" w:line="360" w:before="0" w:after="0"/>
        <w:ind w:left="0" w:right="57" w:hanging="0"/>
        <w:jc w:val="right"/>
        <w:rPr/>
      </w:pPr>
      <w:r>
        <w:rPr>
          <w:rFonts w:ascii="Times New Roman" w:hAnsi="Times New Roman"/>
          <w:sz w:val="28"/>
          <w:szCs w:val="28"/>
        </w:rPr>
        <w:t xml:space="preserve">__________ Сентюжанов М.А. </w:t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overflowPunct w:val="true"/>
        <w:bidi w:val="0"/>
        <w:spacing w:lineRule="auto" w:line="360" w:before="0" w:after="0"/>
        <w:ind w:left="0" w:right="57" w:hanging="0"/>
        <w:jc w:val="right"/>
        <w:rPr/>
      </w:pPr>
      <w:r>
        <w:rPr>
          <w:rFonts w:ascii="Times New Roman" w:hAnsi="Times New Roman"/>
          <w:sz w:val="28"/>
          <w:szCs w:val="28"/>
        </w:rPr>
        <w:t>______________ Хабиров Р.И.</w:t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bidi w:val="0"/>
        <w:spacing w:lineRule="auto" w:line="360" w:before="0" w:after="0"/>
        <w:ind w:left="0" w:right="0" w:hanging="0"/>
        <w:jc w:val="right"/>
        <w:rPr/>
      </w:pPr>
      <w:r>
        <w:rPr>
          <w:rFonts w:ascii="Times New Roman" w:hAnsi="Times New Roman"/>
          <w:sz w:val="28"/>
          <w:szCs w:val="28"/>
        </w:rPr>
        <w:t>«___»_______________ 2022 г.</w:t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bidi w:val="0"/>
        <w:spacing w:lineRule="auto" w:line="360" w:before="0" w:after="0"/>
        <w:ind w:left="0" w:right="0" w:firstLine="51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bidi w:val="0"/>
        <w:spacing w:lineRule="auto" w:line="360" w:before="0" w:after="0"/>
        <w:ind w:left="0" w:right="57" w:hanging="0"/>
        <w:jc w:val="right"/>
        <w:rPr/>
      </w:pPr>
      <w:r>
        <w:rPr>
          <w:rFonts w:ascii="Times New Roman" w:hAnsi="Times New Roman"/>
          <w:sz w:val="28"/>
          <w:szCs w:val="28"/>
        </w:rPr>
        <w:t>Проверил ассистент каф. РЭТЭМ</w:t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overflowPunct w:val="true"/>
        <w:bidi w:val="0"/>
        <w:spacing w:lineRule="auto" w:line="360" w:before="0" w:after="0"/>
        <w:ind w:left="0" w:right="0" w:hanging="0"/>
        <w:jc w:val="right"/>
        <w:rPr/>
      </w:pPr>
      <w:r>
        <w:rPr>
          <w:rFonts w:ascii="Times New Roman" w:hAnsi="Times New Roman"/>
          <w:sz w:val="28"/>
          <w:szCs w:val="28"/>
        </w:rPr>
        <w:t xml:space="preserve">_______________ Нуриев Д.К. </w:t>
      </w:r>
    </w:p>
    <w:p>
      <w:pPr>
        <w:pStyle w:val="Normal"/>
        <w:widowControl/>
        <w:tabs>
          <w:tab w:val="clear" w:pos="720"/>
          <w:tab w:val="left" w:pos="5664" w:leader="none"/>
        </w:tabs>
        <w:suppressAutoHyphens w:val="true"/>
        <w:bidi w:val="0"/>
        <w:spacing w:lineRule="auto" w:line="360" w:before="0" w:after="0"/>
        <w:ind w:left="0" w:right="0" w:hanging="0"/>
        <w:jc w:val="right"/>
        <w:rPr/>
      </w:pPr>
      <w:r>
        <w:rPr>
          <w:rFonts w:ascii="Times New Roman" w:hAnsi="Times New Roman"/>
          <w:sz w:val="28"/>
          <w:szCs w:val="28"/>
        </w:rPr>
        <w:t>«___»_______________ 2022 г.</w:t>
      </w:r>
    </w:p>
    <w:p>
      <w:pPr>
        <w:pStyle w:val="Normal"/>
        <w:spacing w:lineRule="auto" w:line="360"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left="0" w:right="0" w:hanging="0"/>
        <w:jc w:val="center"/>
        <w:rPr/>
      </w:pPr>
      <w:r>
        <w:rPr>
          <w:rFonts w:ascii="Times New Roman" w:hAnsi="Times New Roman"/>
          <w:sz w:val="28"/>
          <w:szCs w:val="28"/>
        </w:rPr>
        <w:t>Томск 2022</w:t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start="1" w:fmt="decimal"/>
          <w:formProt w:val="false"/>
          <w:textDirection w:val="lrTb"/>
          <w:docGrid w:type="default" w:linePitch="100" w:charSpace="0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22"/>
            <w:spacing w:lineRule="auto" w:line="480" w:before="0" w:after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Оглавление</w:t>
          </w:r>
        </w:p>
        <w:p>
          <w:pPr>
            <w:pStyle w:val="12"/>
            <w:tabs>
              <w:tab w:val="clear" w:pos="9638"/>
              <w:tab w:val="right" w:pos="9355" w:leader="dot"/>
            </w:tabs>
            <w:rPr/>
          </w:pPr>
          <w:r>
            <w:fldChar w:fldCharType="begin"/>
          </w:r>
          <w:r>
            <w:rPr>
              <w:sz w:val="28"/>
              <w:szCs w:val="28"/>
              <w:rFonts w:ascii="Times New Roman" w:hAnsi="Times New Roman"/>
            </w:rPr>
            <w:instrText xml:space="preserve"> TOC \f \o "1-9" \h</w:instrText>
          </w:r>
          <w:r>
            <w:rPr>
              <w:sz w:val="28"/>
              <w:szCs w:val="28"/>
              <w:rFonts w:ascii="Times New Roman" w:hAnsi="Times New Roman"/>
            </w:rPr>
            <w:fldChar w:fldCharType="separate"/>
          </w:r>
          <w:hyperlink w:anchor="__RefHeading___Toc310_2691480195">
            <w:r>
              <w:rPr>
                <w:rFonts w:ascii="Times New Roman" w:hAnsi="Times New Roman"/>
                <w:sz w:val="28"/>
                <w:szCs w:val="28"/>
              </w:rPr>
              <w:t>Введение</w:t>
              <w:tab/>
              <w:t>3</w:t>
            </w:r>
          </w:hyperlink>
        </w:p>
        <w:p>
          <w:pPr>
            <w:pStyle w:val="12"/>
            <w:tabs>
              <w:tab w:val="clear" w:pos="9638"/>
              <w:tab w:val="right" w:pos="9355" w:leader="dot"/>
            </w:tabs>
            <w:rPr/>
          </w:pPr>
          <w:hyperlink w:anchor="__RefHeading___Toc312_2691480195">
            <w:r>
              <w:rPr>
                <w:rFonts w:ascii="Times New Roman" w:hAnsi="Times New Roman"/>
                <w:sz w:val="28"/>
                <w:szCs w:val="28"/>
              </w:rPr>
              <w:t>1 ТЕОРЕТИЧЕСКАЯ ЧАСТЬ</w:t>
              <w:tab/>
              <w:t>4</w:t>
            </w:r>
          </w:hyperlink>
        </w:p>
        <w:p>
          <w:pPr>
            <w:pStyle w:val="22"/>
            <w:rPr/>
          </w:pPr>
          <w:hyperlink w:anchor="__RefHeading___Toc316_2691480195111111">
            <w:r>
              <w:rPr>
                <w:rFonts w:ascii="Times New Roman" w:hAnsi="Times New Roman"/>
                <w:sz w:val="28"/>
                <w:szCs w:val="28"/>
              </w:rPr>
              <w:t xml:space="preserve">1.1 </w:t>
            </w:r>
            <w:r>
              <w:rPr>
                <w:rFonts w:ascii="Times New Roman" w:hAnsi="Times New Roman"/>
                <w:position w:val="0"/>
                <w:sz w:val="28"/>
                <w:sz w:val="28"/>
                <w:szCs w:val="28"/>
                <w:vertAlign w:val="baseline"/>
              </w:rPr>
              <w:t>Электробезопасность</w:t>
            </w:r>
            <w:r>
              <w:rPr>
                <w:rFonts w:ascii="Times New Roman" w:hAnsi="Times New Roman"/>
                <w:sz w:val="28"/>
                <w:szCs w:val="28"/>
              </w:rPr>
              <w:tab/>
              <w:t>4</w:t>
            </w:r>
          </w:hyperlink>
        </w:p>
        <w:p>
          <w:pPr>
            <w:pStyle w:val="22"/>
            <w:rPr/>
          </w:pPr>
          <w:hyperlink w:anchor="__RefHeading___Toc316_2691480195111112">
            <w:r>
              <w:rPr>
                <w:rFonts w:ascii="Times New Roman" w:hAnsi="Times New Roman"/>
                <w:sz w:val="28"/>
                <w:szCs w:val="28"/>
              </w:rPr>
              <w:t xml:space="preserve">1.2 </w:t>
            </w:r>
            <w:r>
              <w:rPr>
                <w:rFonts w:ascii="Times New Roman" w:hAnsi="Times New Roman"/>
                <w:position w:val="0"/>
                <w:sz w:val="28"/>
                <w:sz w:val="28"/>
                <w:szCs w:val="28"/>
                <w:vertAlign w:val="baseline"/>
              </w:rPr>
              <w:t>Классификация помещений</w:t>
            </w:r>
            <w:r>
              <w:rPr>
                <w:rFonts w:ascii="Times New Roman" w:hAnsi="Times New Roman"/>
                <w:sz w:val="28"/>
                <w:szCs w:val="28"/>
              </w:rPr>
              <w:tab/>
              <w:t>4</w:t>
            </w:r>
          </w:hyperlink>
        </w:p>
        <w:p>
          <w:pPr>
            <w:pStyle w:val="22"/>
            <w:rPr/>
          </w:pPr>
          <w:hyperlink w:anchor="__RefHeading___Toc316_2691480195111113">
            <w:r>
              <w:rPr>
                <w:rFonts w:ascii="Times New Roman" w:hAnsi="Times New Roman"/>
                <w:sz w:val="28"/>
                <w:szCs w:val="28"/>
              </w:rPr>
              <w:t xml:space="preserve">1.3 </w:t>
            </w:r>
            <w:r>
              <w:rPr>
                <w:rFonts w:ascii="Times New Roman" w:hAnsi="Times New Roman"/>
                <w:position w:val="0"/>
                <w:sz w:val="28"/>
                <w:sz w:val="28"/>
                <w:szCs w:val="28"/>
                <w:vertAlign w:val="baseline"/>
              </w:rPr>
              <w:t>Способы и меры защиты от поражения электрическим током</w:t>
            </w:r>
            <w:r>
              <w:rPr>
                <w:rFonts w:ascii="Times New Roman" w:hAnsi="Times New Roman"/>
                <w:sz w:val="28"/>
                <w:szCs w:val="28"/>
              </w:rPr>
              <w:tab/>
              <w:t>5</w:t>
            </w:r>
          </w:hyperlink>
        </w:p>
        <w:p>
          <w:pPr>
            <w:pStyle w:val="12"/>
            <w:tabs>
              <w:tab w:val="clear" w:pos="9638"/>
              <w:tab w:val="right" w:pos="9355" w:leader="dot"/>
            </w:tabs>
            <w:rPr/>
          </w:pPr>
          <w:hyperlink w:anchor="__RefHeading___Toc312_26914801951">
            <w:r>
              <w:rPr>
                <w:rFonts w:ascii="Times New Roman" w:hAnsi="Times New Roman"/>
                <w:sz w:val="28"/>
                <w:szCs w:val="28"/>
              </w:rPr>
              <w:t>2 ХОД РАБОТЫ</w:t>
              <w:tab/>
              <w:t>9</w:t>
            </w:r>
          </w:hyperlink>
        </w:p>
        <w:p>
          <w:pPr>
            <w:pStyle w:val="22"/>
            <w:rPr/>
          </w:pPr>
          <w:hyperlink w:anchor="__RefHeading___Toc316_269148019511111">
            <w:r>
              <w:rPr>
                <w:rFonts w:ascii="Times New Roman" w:hAnsi="Times New Roman"/>
                <w:sz w:val="28"/>
                <w:szCs w:val="28"/>
              </w:rPr>
              <w:t xml:space="preserve">2.1 </w:t>
            </w:r>
            <w:r>
              <w:rPr>
                <w:rFonts w:ascii="Times New Roman" w:hAnsi="Times New Roman"/>
                <w:position w:val="0"/>
                <w:sz w:val="28"/>
                <w:sz w:val="28"/>
                <w:szCs w:val="28"/>
                <w:vertAlign w:val="baseline"/>
              </w:rPr>
              <w:t>Защитное действие устройства автоматического отключения питания при сверхтоках</w:t>
            </w:r>
            <w:r>
              <w:rPr>
                <w:rFonts w:ascii="Times New Roman" w:hAnsi="Times New Roman"/>
                <w:sz w:val="28"/>
                <w:szCs w:val="28"/>
              </w:rPr>
              <w:tab/>
              <w:t>9</w:t>
            </w:r>
          </w:hyperlink>
        </w:p>
        <w:p>
          <w:pPr>
            <w:pStyle w:val="22"/>
            <w:rPr/>
          </w:pPr>
          <w:hyperlink w:anchor="__RefHeading___Toc1131_3191357202">
            <w:r>
              <w:rPr>
                <w:rFonts w:ascii="Times New Roman" w:hAnsi="Times New Roman"/>
                <w:sz w:val="28"/>
                <w:szCs w:val="28"/>
              </w:rPr>
              <w:t xml:space="preserve">2.2 </w:t>
            </w:r>
            <w:r>
              <w:rPr>
                <w:rFonts w:ascii="Times New Roman" w:hAnsi="Times New Roman"/>
                <w:position w:val="0"/>
                <w:sz w:val="28"/>
                <w:sz w:val="28"/>
                <w:szCs w:val="28"/>
                <w:vertAlign w:val="baseline"/>
              </w:rPr>
              <w:t>Действие устройства защитного отключения без устройства защитного отключения</w:t>
            </w:r>
            <w:r>
              <w:rPr>
                <w:rFonts w:ascii="Times New Roman" w:hAnsi="Times New Roman"/>
                <w:sz w:val="28"/>
                <w:szCs w:val="28"/>
              </w:rPr>
              <w:tab/>
              <w:t>10</w:t>
            </w:r>
          </w:hyperlink>
        </w:p>
        <w:p>
          <w:pPr>
            <w:pStyle w:val="22"/>
            <w:rPr/>
          </w:pPr>
          <w:hyperlink w:anchor="__RefHeading___Toc1133_3191357202">
            <w:r>
              <w:rPr>
                <w:rFonts w:ascii="Times New Roman" w:hAnsi="Times New Roman"/>
                <w:sz w:val="28"/>
                <w:szCs w:val="28"/>
              </w:rPr>
              <w:t xml:space="preserve">2.3 </w:t>
            </w:r>
            <w:r>
              <w:rPr>
                <w:rFonts w:ascii="Times New Roman" w:hAnsi="Times New Roman"/>
                <w:position w:val="0"/>
                <w:sz w:val="28"/>
                <w:sz w:val="28"/>
                <w:szCs w:val="28"/>
                <w:vertAlign w:val="baseline"/>
              </w:rPr>
              <w:t>Действие устройства защитного отключения с устройством защитного отключения</w:t>
            </w:r>
            <w:r>
              <w:rPr>
                <w:rFonts w:ascii="Times New Roman" w:hAnsi="Times New Roman"/>
                <w:sz w:val="28"/>
                <w:szCs w:val="28"/>
              </w:rPr>
              <w:tab/>
              <w:t>11</w:t>
            </w:r>
          </w:hyperlink>
        </w:p>
        <w:p>
          <w:pPr>
            <w:pStyle w:val="12"/>
            <w:tabs>
              <w:tab w:val="clear" w:pos="9638"/>
              <w:tab w:val="right" w:pos="9355" w:leader="dot"/>
            </w:tabs>
            <w:rPr/>
          </w:pPr>
          <w:hyperlink w:anchor="__RefHeading___Toc324_2691480195">
            <w:r>
              <w:rPr>
                <w:rFonts w:ascii="Times New Roman" w:hAnsi="Times New Roman"/>
                <w:sz w:val="28"/>
                <w:szCs w:val="28"/>
              </w:rPr>
              <w:t>Заключение</w:t>
              <w:tab/>
              <w:t>14</w:t>
            </w:r>
          </w:hyperlink>
          <w:r>
            <w:rPr>
              <w:sz w:val="28"/>
              <w:szCs w:val="28"/>
              <w:rFonts w:ascii="Times New Roman" w:hAnsi="Times New Roman"/>
            </w:rPr>
            <w:fldChar w:fldCharType="end"/>
          </w:r>
        </w:p>
      </w:sdtContent>
    </w:sdt>
    <w:p>
      <w:pPr>
        <w:pStyle w:val="Normal"/>
        <w:rPr/>
      </w:pPr>
      <w:r>
        <w:rPr/>
      </w:r>
      <w:r>
        <w:br w:type="page"/>
      </w:r>
    </w:p>
    <w:p>
      <w:pPr>
        <w:pStyle w:val="1"/>
        <w:numPr>
          <w:ilvl w:val="0"/>
          <w:numId w:val="0"/>
        </w:numPr>
        <w:spacing w:lineRule="auto" w:line="480" w:before="0" w:after="0"/>
        <w:ind w:left="0" w:right="0" w:hanging="0"/>
        <w:rPr/>
      </w:pPr>
      <w:bookmarkStart w:id="0" w:name="__RefHeading___Toc310_2691480195"/>
      <w:bookmarkEnd w:id="0"/>
      <w:r>
        <w:rPr>
          <w:rFonts w:cs="Times New Roman" w:ascii="Times New Roman" w:hAnsi="Times New Roman"/>
          <w:sz w:val="28"/>
          <w:szCs w:val="28"/>
        </w:rPr>
        <w:t>Введение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b/>
          <w:bCs/>
          <w:i w:val="false"/>
          <w:iCs w:val="false"/>
          <w:color w:val="000000"/>
          <w:sz w:val="28"/>
          <w:szCs w:val="28"/>
        </w:rPr>
        <w:t>Цель работы</w:t>
      </w:r>
      <w:r>
        <w:rPr>
          <w:rFonts w:ascii="Times New Roman" w:hAnsi="Times New Roman"/>
          <w:i w:val="false"/>
          <w:iCs w:val="false"/>
          <w:color w:val="000000"/>
          <w:sz w:val="28"/>
          <w:szCs w:val="28"/>
        </w:rPr>
        <w:t>:</w:t>
      </w:r>
      <w:r>
        <w:rPr>
          <w:rFonts w:ascii="Times New Roman" w:hAnsi="Times New Roman"/>
          <w:color w:val="000000"/>
          <w:sz w:val="28"/>
          <w:szCs w:val="28"/>
        </w:rPr>
        <w:t xml:space="preserve"> изучение мер защиты человека от поражения электрическим током в жилых и офисных помещениях с помощью устройства автоматического отключения питания при сверхтоках и устройства защитного отключения.</w:t>
      </w:r>
    </w:p>
    <w:p>
      <w:pPr>
        <w:pStyle w:val="Normal"/>
        <w:spacing w:lineRule="auto" w:line="360" w:before="0" w:after="0"/>
        <w:ind w:left="0" w:right="0" w:firstLine="709"/>
        <w:jc w:val="left"/>
        <w:rPr/>
      </w:pPr>
      <w:r>
        <w:rPr>
          <w:rFonts w:ascii="Times New Roman" w:hAnsi="Times New Roman"/>
          <w:b/>
          <w:bCs/>
          <w:i w:val="false"/>
          <w:iCs w:val="false"/>
          <w:color w:val="000000"/>
          <w:sz w:val="28"/>
          <w:szCs w:val="28"/>
        </w:rPr>
        <w:t>Оборудование:</w:t>
      </w:r>
    </w:p>
    <w:tbl>
      <w:tblPr>
        <w:tblW w:w="9360" w:type="dxa"/>
        <w:jc w:val="left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647"/>
        <w:gridCol w:w="4527"/>
        <w:gridCol w:w="1255"/>
        <w:gridCol w:w="1930"/>
      </w:tblGrid>
      <w:tr>
        <w:trPr/>
        <w:tc>
          <w:tcPr>
            <w:tcW w:w="1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Обозначение</w:t>
            </w:r>
          </w:p>
        </w:tc>
        <w:tc>
          <w:tcPr>
            <w:tcW w:w="45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12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19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Параметры</w:t>
            </w:r>
          </w:p>
        </w:tc>
      </w:tr>
      <w:tr>
        <w:trPr/>
        <w:tc>
          <w:tcPr>
            <w:tcW w:w="164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G1</w:t>
            </w:r>
          </w:p>
        </w:tc>
        <w:tc>
          <w:tcPr>
            <w:tcW w:w="452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Однофазный источник питания</w:t>
            </w:r>
          </w:p>
        </w:tc>
        <w:tc>
          <w:tcPr>
            <w:tcW w:w="125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218.1</w:t>
            </w:r>
          </w:p>
        </w:tc>
        <w:tc>
          <w:tcPr>
            <w:tcW w:w="193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~ 220 В / 16 А</w:t>
            </w:r>
          </w:p>
        </w:tc>
      </w:tr>
      <w:tr>
        <w:trPr/>
        <w:tc>
          <w:tcPr>
            <w:tcW w:w="164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A1</w:t>
            </w:r>
          </w:p>
        </w:tc>
        <w:tc>
          <w:tcPr>
            <w:tcW w:w="452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Модель питающей электрической сети</w:t>
            </w:r>
          </w:p>
        </w:tc>
        <w:tc>
          <w:tcPr>
            <w:tcW w:w="125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387.1</w:t>
            </w:r>
          </w:p>
        </w:tc>
        <w:tc>
          <w:tcPr>
            <w:tcW w:w="193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~ 220 В / 50 ВА</w:t>
            </w:r>
          </w:p>
        </w:tc>
      </w:tr>
      <w:tr>
        <w:trPr/>
        <w:tc>
          <w:tcPr>
            <w:tcW w:w="164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A2</w:t>
            </w:r>
          </w:p>
        </w:tc>
        <w:tc>
          <w:tcPr>
            <w:tcW w:w="452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Модель электроприёмника класса I (0,01)</w:t>
            </w:r>
          </w:p>
        </w:tc>
        <w:tc>
          <w:tcPr>
            <w:tcW w:w="125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388.1</w:t>
            </w:r>
          </w:p>
        </w:tc>
        <w:tc>
          <w:tcPr>
            <w:tcW w:w="193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~ 220 В</w:t>
            </w:r>
          </w:p>
        </w:tc>
      </w:tr>
      <w:tr>
        <w:trPr/>
        <w:tc>
          <w:tcPr>
            <w:tcW w:w="164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A3</w:t>
            </w:r>
          </w:p>
        </w:tc>
        <w:tc>
          <w:tcPr>
            <w:tcW w:w="452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Модель человека</w:t>
            </w:r>
          </w:p>
        </w:tc>
        <w:tc>
          <w:tcPr>
            <w:tcW w:w="125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309.1</w:t>
            </w:r>
          </w:p>
        </w:tc>
        <w:tc>
          <w:tcPr>
            <w:tcW w:w="193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~ 220 В / 1 кОм</w:t>
            </w:r>
          </w:p>
        </w:tc>
      </w:tr>
      <w:tr>
        <w:trPr/>
        <w:tc>
          <w:tcPr>
            <w:tcW w:w="164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A4</w:t>
            </w:r>
          </w:p>
        </w:tc>
        <w:tc>
          <w:tcPr>
            <w:tcW w:w="452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Модель электроприёмника класса II</w:t>
            </w:r>
          </w:p>
        </w:tc>
        <w:tc>
          <w:tcPr>
            <w:tcW w:w="125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388.2</w:t>
            </w:r>
          </w:p>
        </w:tc>
        <w:tc>
          <w:tcPr>
            <w:tcW w:w="193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~ 220 В</w:t>
            </w:r>
          </w:p>
        </w:tc>
      </w:tr>
      <w:tr>
        <w:trPr/>
        <w:tc>
          <w:tcPr>
            <w:tcW w:w="164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A5</w:t>
            </w:r>
          </w:p>
        </w:tc>
        <w:tc>
          <w:tcPr>
            <w:tcW w:w="452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Устройство защитного отключения</w:t>
            </w:r>
          </w:p>
        </w:tc>
        <w:tc>
          <w:tcPr>
            <w:tcW w:w="125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321.1</w:t>
            </w:r>
          </w:p>
        </w:tc>
        <w:tc>
          <w:tcPr>
            <w:tcW w:w="193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~ 220 В / 16 А / 10 мА</w:t>
            </w:r>
          </w:p>
        </w:tc>
      </w:tr>
      <w:tr>
        <w:trPr/>
        <w:tc>
          <w:tcPr>
            <w:tcW w:w="164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A11</w:t>
            </w:r>
          </w:p>
        </w:tc>
        <w:tc>
          <w:tcPr>
            <w:tcW w:w="452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Автоматический однополюсный выключатель</w:t>
            </w:r>
          </w:p>
        </w:tc>
        <w:tc>
          <w:tcPr>
            <w:tcW w:w="125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359.1</w:t>
            </w:r>
          </w:p>
        </w:tc>
        <w:tc>
          <w:tcPr>
            <w:tcW w:w="193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~ 220 В / 0,5 А</w:t>
            </w:r>
          </w:p>
        </w:tc>
      </w:tr>
      <w:tr>
        <w:trPr/>
        <w:tc>
          <w:tcPr>
            <w:tcW w:w="164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P1</w:t>
            </w:r>
          </w:p>
        </w:tc>
        <w:tc>
          <w:tcPr>
            <w:tcW w:w="452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Блок мультиметров</w:t>
            </w:r>
          </w:p>
        </w:tc>
        <w:tc>
          <w:tcPr>
            <w:tcW w:w="125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509.2</w:t>
            </w:r>
          </w:p>
        </w:tc>
        <w:tc>
          <w:tcPr>
            <w:tcW w:w="193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23"/>
              <w:widowControl w:val="false"/>
              <w:spacing w:lineRule="auto" w:line="24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мультиметра 0,1000 В</w:t>
              <w:br/>
              <w:t>0,10 А</w:t>
              <w:br/>
              <w:t>0,20 МОм</w:t>
            </w:r>
          </w:p>
        </w:tc>
      </w:tr>
    </w:tbl>
    <w:p>
      <w:pPr>
        <w:pStyle w:val="Normal"/>
        <w:spacing w:lineRule="auto" w:line="360" w:before="0" w:after="0"/>
        <w:ind w:left="0" w:right="0" w:firstLine="709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360" w:before="0" w:after="0"/>
        <w:ind w:left="0" w:right="0" w:firstLine="709"/>
        <w:jc w:val="left"/>
        <w:rPr/>
      </w:pPr>
      <w:r>
        <w:rPr>
          <w:rFonts w:ascii="Times New Roman" w:hAnsi="Times New Roman"/>
          <w:b/>
          <w:bCs/>
          <w:i w:val="false"/>
          <w:iCs w:val="false"/>
          <w:color w:val="000000"/>
          <w:sz w:val="28"/>
          <w:szCs w:val="28"/>
        </w:rPr>
        <w:t>План работы: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sz w:val="28"/>
          <w:szCs w:val="28"/>
        </w:rPr>
        <w:t>изучение теоретической части;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sz w:val="28"/>
          <w:szCs w:val="28"/>
        </w:rPr>
        <w:t>ознакомление с принципами работы устройства автоматического отключения питания при сверхтоках и устройства защитного отключения;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sz w:val="28"/>
          <w:szCs w:val="28"/>
        </w:rPr>
        <w:t>выполнение экспериментальной части;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sz w:val="28"/>
          <w:szCs w:val="28"/>
        </w:rPr>
        <w:t>оформление полученных результатов.</w:t>
      </w:r>
    </w:p>
    <w:p>
      <w:pPr>
        <w:pStyle w:val="Normal"/>
        <w:spacing w:lineRule="auto" w:line="360" w:before="0" w:after="0"/>
        <w:ind w:left="0" w:right="0" w:firstLine="70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1"/>
        <w:spacing w:lineRule="auto" w:line="480" w:before="0" w:after="0"/>
        <w:rPr/>
      </w:pPr>
      <w:bookmarkStart w:id="1" w:name="__RefHeading___Toc312_2691480195"/>
      <w:bookmarkEnd w:id="1"/>
      <w:r>
        <w:rPr>
          <w:rFonts w:cs="Times New Roman" w:ascii="Times New Roman" w:hAnsi="Times New Roman"/>
          <w:sz w:val="28"/>
          <w:szCs w:val="28"/>
        </w:rPr>
        <w:t>ТЕОРЕТИЧЕСКАЯ ЧАСТЬ</w:t>
      </w:r>
    </w:p>
    <w:p>
      <w:pPr>
        <w:pStyle w:val="2"/>
        <w:spacing w:lineRule="auto" w:line="480" w:before="0" w:after="0"/>
        <w:ind w:left="0" w:right="0" w:hanging="0"/>
        <w:jc w:val="center"/>
        <w:rPr/>
      </w:pPr>
      <w:bookmarkStart w:id="2" w:name="__RefHeading___Toc316_2691480195111111"/>
      <w:bookmarkEnd w:id="2"/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Электробезопасность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Электробезопасность (по ГОСТ 12.1.009-76) обеспечивается организационными и техническими мероприятиями, конструкцией электроустановок, применением технических методов, средств защиты.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Организационные меры защиты. Применение защитных мер регламентируется нормативными документами по электробезопасности: Правилами устройства электроустановок (ПУЭ), утверждёнными приказом Минэнерго России от 8 июля 2002 г. № 204; Межотраслевыми правилами по охране труда при эксплуатации электроустановок (ПОТ Р М-016-01), утверждёнными постановлением Минтруда России от 5 января 2001 г. № 3; Правилами технической эксплуатации электроустановок потребителей (ПТЭЭП9-2003), утверждёнными приказом Минэнерго России от 12 января 2003 г. № 6.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Электроустановками называются машины, в которых производится, преобразуется, распределяется и потребляется электроэнергия. Меры защиты должны соответствовать виду электроустановки и условиям применения электрооборудования, обеспечивая достаточную безопасность.</w:t>
      </w:r>
    </w:p>
    <w:p>
      <w:pPr>
        <w:pStyle w:val="Normal"/>
        <w:spacing w:lineRule="auto" w:line="360" w:before="0" w:after="0"/>
        <w:ind w:left="0" w:right="0" w:firstLine="709"/>
        <w:jc w:val="both"/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</w:r>
    </w:p>
    <w:p>
      <w:pPr>
        <w:pStyle w:val="2"/>
        <w:spacing w:lineRule="auto" w:line="480" w:before="0" w:after="0"/>
        <w:ind w:left="0" w:right="0" w:hanging="0"/>
        <w:jc w:val="center"/>
        <w:rPr/>
      </w:pPr>
      <w:bookmarkStart w:id="3" w:name="__RefHeading___Toc316_2691480195111112"/>
      <w:bookmarkEnd w:id="3"/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Классификация помещений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Безопасность при эксплуатации электроустановок существенно зависит от повышенной влажности и температуры воздуха, запылённости и загазованности помещений. Согласно ПУЭ все помещения по опасности поражения током делятся на три категории: 1) помещения без повышенной опасности; 2) помещения с повышенной опасностью; 3) особо опасные помещения. При этом выделяются следующие признаки повышенной опасности: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наличие токопроводящих полов — металлических, железобетонных, кирпичных и т. п.;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сырость помещений при относительной влажности воздуха</w:t>
        <w:br/>
        <w:t>&gt; 75%;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 xml:space="preserve">высокая температура воздуха (t &gt; 35 </w:t>
      </w:r>
      <w:r>
        <w:rPr>
          <w:rFonts w:eastAsia="Calibri" w:cs="Times New Roman" w:ascii="Noto Sans Oriya UI Thin" w:hAnsi="Noto Sans Oriya UI Thin"/>
          <w:position w:val="0"/>
          <w:sz w:val="28"/>
          <w:sz w:val="28"/>
          <w:szCs w:val="28"/>
          <w:vertAlign w:val="baseline"/>
        </w:rPr>
        <w:t>°</w:t>
      </w:r>
      <w:r>
        <w:rPr>
          <w:rFonts w:eastAsia="Calibri" w:cs="Times New Roman" w:ascii="Times New Roman" w:hAnsi="Times New Roman"/>
          <w:position w:val="0"/>
          <w:sz w:val="28"/>
          <w:sz w:val="28"/>
          <w:szCs w:val="28"/>
          <w:vertAlign w:val="baseline"/>
        </w:rPr>
        <w:t>C</w:t>
      </w: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);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токопроводящая пыль (металлическая, угольная и др.);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возможность одновременного прикосновения человека к заземлённой металлоконструкции и к металлическому корпусу электроустановки;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коэффициент заполнения помещения электрооборудованием</w:t>
        <w:br/>
        <w:t>&gt; 0,2.</w:t>
      </w:r>
    </w:p>
    <w:p>
      <w:pPr>
        <w:pStyle w:val="Normal"/>
        <w:widowControl/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Признаки особой опасности: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особая сырость (</w:t>
      </w:r>
      <w:r>
        <w:rPr>
          <w:rFonts w:eastAsia="Calibri" w:cs="Times New Roman" w:ascii="Times New Roman" w:hAnsi="Times New Roman"/>
          <w:position w:val="0"/>
          <w:sz w:val="28"/>
          <w:sz w:val="28"/>
          <w:szCs w:val="28"/>
          <w:vertAlign w:val="baseline"/>
        </w:rPr>
        <w:t xml:space="preserve">ϕ </w:t>
      </w: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>≈ 100% — стены, полы и потолок покрыты влагой</w:t>
      </w: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);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наличие химически активной среды (агрессивные пары, газы, жидкости).</w:t>
      </w:r>
    </w:p>
    <w:p>
      <w:pPr>
        <w:pStyle w:val="Normal"/>
        <w:widowControl/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0" w:right="0" w:firstLine="709"/>
        <w:jc w:val="both"/>
        <w:rPr/>
      </w:pPr>
      <w:r>
        <w:rPr/>
      </w:r>
    </w:p>
    <w:p>
      <w:pPr>
        <w:pStyle w:val="2"/>
        <w:spacing w:lineRule="auto" w:line="480" w:before="0" w:after="0"/>
        <w:ind w:left="0" w:right="0" w:hanging="0"/>
        <w:jc w:val="center"/>
        <w:rPr/>
      </w:pPr>
      <w:bookmarkStart w:id="4" w:name="__RefHeading___Toc316_2691480195111113"/>
      <w:bookmarkEnd w:id="4"/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Способы и меры защиты от поражения электрическим током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Технические способы и средства защиты приведены в ГОСТ</w:t>
        <w:br/>
        <w:t>12.1.019-79 «Электробезопасность. Общие требования». Для обеспечения электробезопасности должны применяться отдельно или в сочетании друг с другом следующие технические способы и средства: защитное заземление; зануление; выравнивание потенциалов; электрическое разделение сетей; защитное отключение; изоляция токоведущих частей (рабочая, дополнительная, усиленная, двойная); оградительные устройства; предупредительная сигнализация, блокировка; знаки безопасности; средства защиты и предохранительные приспособления.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Защита от прикосновения или опасного приближения к токоведущим частям достигается дополнительной или усиленной изоляцией токоведущих частей; расположением токоведущих частей на недоступной высоте или в недоступном месте; использованием ограждений: сплошных в виде кожухов и крышек и сетчатых; применением блокировок, предупредительной сигнализации, знаков безопасности. По принципу действия блокировки делятся на механические и электрические. Электрическая блокировка осуществляет отключение электроустановки при открытии дверей, ограждений, крышек кожухов.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 xml:space="preserve">Малое напряжение (номинальное напряжение </w:t>
      </w: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>≤</w:t>
      </w:r>
      <w:r>
        <w:rPr>
          <w:rFonts w:eastAsia="Calibri" w:cs="Times New Roman" w:ascii="Times New Roman" w:hAnsi="Times New Roman"/>
          <w:position w:val="0"/>
          <w:sz w:val="28"/>
          <w:sz w:val="28"/>
          <w:szCs w:val="28"/>
          <w:vertAlign w:val="baseline"/>
        </w:rPr>
        <w:t xml:space="preserve"> 42 В</w:t>
      </w: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) и электрическое разделение сетей используют для повышения безопасности при работе в основном с ручным электрифицированным инструментом.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Электрическое разделение сетей: разветвлённая сеть большой протяжённости имеет значительную ёмкость и небольшое активное сопротивление изоляции относительно земли; ток замыкания на землю в такой сети может достигать значительной величины, поэтому однофазное прикосновение в сети является опасным. Опасность поражения резко снизится, если единую сильно разветвлённую сеть с большой ёмкостью и малым сопротивлением разделить на ряд небольших сетей с незначительной ёмкостью и высоким сопротивлением изоляции с помощью специальных разделяющих трансформаторов.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Защитное заземление, зануление и защитное отключение являются наиболее распространёнными техническими средствами для защиты персонала при прикосновении к токоведущим частям электрооборудования, которые могут оказаться под напряжением из-за повреждения изоляции.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Защитное заземление или зануление выполняют: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во всех случаях при номинальном переменном напряжении</w:t>
        <w:br/>
      </w: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>≥</w:t>
      </w:r>
      <w:r>
        <w:rPr>
          <w:rFonts w:eastAsia="Calibri" w:cs="Times New Roman" w:ascii="Times New Roman" w:hAnsi="Times New Roman"/>
          <w:position w:val="0"/>
          <w:sz w:val="28"/>
          <w:sz w:val="28"/>
          <w:szCs w:val="28"/>
          <w:vertAlign w:val="baseline"/>
        </w:rPr>
        <w:t xml:space="preserve"> 380 В и постоянном напряжении </w:t>
      </w: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>≥ 440 В;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1440" w:right="0" w:hanging="363"/>
        <w:jc w:val="both"/>
        <w:rPr/>
      </w:pP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>в помещениях с повышенной опасностью и особо опасных при номинальном переменном напряжении U = 42 - 380 В и постоянном напряжении U = 110 - 440 В. Таким образом, электроустановки, работающие под напряжением до 42 В перемеренного и до 110 В постоянного тока, не требуют защитного заземления и зануления, за исключением некоторых случаев, оговоренных в ПУЭ.</w:t>
      </w:r>
    </w:p>
    <w:p>
      <w:pPr>
        <w:pStyle w:val="Normal"/>
        <w:widowControl/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Liberation Serif" w:cs="Liberation Serif"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Защитное заземление</w:t>
      </w: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 xml:space="preserve"> — это преднамеренное электрическое соединение с землёй или её эквивалентом металлических нетоковедущих частей, которые могут оказаться под напряжением. Принцип действия защитного заземления состоит в снижении до безопасных значений напряжения прикосновения и силы тока, проходящего через человека, обусловленных замыканием на корпус.</w:t>
      </w:r>
    </w:p>
    <w:p>
      <w:pPr>
        <w:pStyle w:val="Normal"/>
        <w:widowControl/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Liberation Serif" w:cs="Liberation Serif"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Зануление</w:t>
      </w: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 xml:space="preserve"> — это преднамеренное электрическое соединение с нулевым защитным проводником металлических токоведущих частей, которые могут оказаться под напряжением. Это основное средство обеспечения электробезопасности в трёхфазных сетях с заземлённой нейтралью и напряжением менее 1 кВ. В таких сетях уменьшить напряжение на корпусе, контактирующем с токоведущими частями, невозможно, но можно повысить безопасность оборудования, уменьшив длительность замыкания на корпус.</w:t>
      </w:r>
    </w:p>
    <w:p>
      <w:pPr>
        <w:pStyle w:val="Normal"/>
        <w:widowControl/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Liberation Serif" w:cs="Liberation Serif"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Защитное отключение</w:t>
      </w: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 xml:space="preserve"> — это быстродействующая защита, обеспечивающая автоматическое отключение электроустановки при возникновении в ней опасности поражения электрическим током. Подобная опасность возникает при повреждениях установки, таких как замыкание на землю; снижение сопротивления изоляции, неисправности заземления, зануления или устройства защитного отключения.</w:t>
      </w:r>
    </w:p>
    <w:p>
      <w:pPr>
        <w:pStyle w:val="Normal"/>
        <w:widowControl/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>Защитное отключение можно использовать в качестве единственной или основной меры защиты совместно с дополнительным заземлением или занулением или в дополнение к заземлению или занулению.</w:t>
      </w:r>
    </w:p>
    <w:p>
      <w:pPr>
        <w:pStyle w:val="Normal"/>
        <w:widowControl/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Liberation Serif" w:cs="Liberation Serif"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Электрозащитные средства</w:t>
      </w: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 xml:space="preserve"> применяются для защиты людей, работающих с электроустановками, от поражения электрическим током, воздействия электрической дуги и электромагнитного поля. По характеру применения электрозащитные средства подразделяются на две категории: средства коллективной и средства индивидуальной защиты.</w:t>
      </w:r>
    </w:p>
    <w:p>
      <w:pPr>
        <w:pStyle w:val="Normal"/>
        <w:widowControl/>
        <w:tabs>
          <w:tab w:val="clear" w:pos="720"/>
        </w:tabs>
        <w:suppressAutoHyphens w:val="true"/>
        <w:overflowPunct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Liberation Serif" w:cs="Liberation Serif" w:ascii="Times New Roman" w:hAnsi="Times New Roman"/>
          <w:b/>
          <w:bCs/>
          <w:position w:val="0"/>
          <w:sz w:val="28"/>
          <w:sz w:val="28"/>
          <w:szCs w:val="28"/>
          <w:vertAlign w:val="baseline"/>
        </w:rPr>
        <w:t>Электрозащитные средства</w:t>
      </w:r>
      <w:r>
        <w:rPr>
          <w:rFonts w:eastAsia="Liberation Serif" w:cs="Liberation Serif" w:ascii="Times New Roman" w:hAnsi="Times New Roman"/>
          <w:position w:val="0"/>
          <w:sz w:val="28"/>
          <w:sz w:val="28"/>
          <w:szCs w:val="28"/>
          <w:vertAlign w:val="baseline"/>
        </w:rPr>
        <w:t xml:space="preserve"> могут быть основными и дополнительными. Основными являются средства защиты, изоляция которых длительно выдерживает рабочее напряжение электроустановки и которые позволяют прикасаться к токоведущим частям, находящимся под напряжением. Средства защиты, которые сами по себе не могут при данном напряжении обеспечить защиту от поражения током, а применяются совместно с основными электрозащитными средствами, служат дополнительными средствами.</w:t>
      </w:r>
      <w:r>
        <w:br w:type="page"/>
      </w:r>
    </w:p>
    <w:p>
      <w:pPr>
        <w:pStyle w:val="1"/>
        <w:tabs>
          <w:tab w:val="clear" w:pos="720"/>
        </w:tabs>
        <w:spacing w:lineRule="auto" w:line="480" w:before="0" w:after="0"/>
        <w:ind w:left="431" w:right="0" w:hanging="431"/>
        <w:rPr/>
      </w:pPr>
      <w:bookmarkStart w:id="5" w:name="__RefHeading___Toc312_26914801951"/>
      <w:bookmarkEnd w:id="5"/>
      <w:r>
        <w:rPr>
          <w:rFonts w:cs="Times New Roman" w:ascii="Times New Roman" w:hAnsi="Times New Roman"/>
          <w:sz w:val="28"/>
          <w:szCs w:val="28"/>
        </w:rPr>
        <w:t>ХОД РАБОТЫ</w:t>
      </w:r>
    </w:p>
    <w:p>
      <w:pPr>
        <w:pStyle w:val="2"/>
        <w:spacing w:lineRule="auto" w:line="480" w:before="0" w:after="0"/>
        <w:ind w:left="0" w:right="0" w:hanging="0"/>
        <w:jc w:val="center"/>
        <w:rPr/>
      </w:pPr>
      <w:bookmarkStart w:id="6" w:name="__RefHeading___Toc316_269148019511111"/>
      <w:bookmarkEnd w:id="6"/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Защитное действие устройства автоматического отключения питания при сверхтоках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 xml:space="preserve">Мы соединили предоставленную аппаратуру в соответствии со схемой электрических соединений </w:t>
      </w: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для выявления защитного действия устройства автоматического отключения питания при сверхтоках</w:t>
      </w: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, приведённой в методических указаниях. На рисунках 2.1 изображена аппаратура, собранная по схеме. Как видно, при включении автоматического выключателя А11 загорелась индикаторная лампа модели электроприёмника А2, что сигнализирует о правильности выполнения данного задания.</w:t>
      </w:r>
    </w:p>
    <w:p>
      <w:pPr>
        <w:pStyle w:val="Normal"/>
        <w:spacing w:lineRule="auto" w:line="240" w:before="0" w:after="0"/>
        <w:ind w:left="0" w:right="0" w:hanging="0"/>
        <w:jc w:val="center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-15240</wp:posOffset>
            </wp:positionV>
            <wp:extent cx="5940425" cy="4455160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grayscl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Рисунок 2.1 — Аппаратура для выявления защитного действия устройства</w:t>
      </w:r>
    </w:p>
    <w:p>
      <w:pPr>
        <w:pStyle w:val="Normal"/>
        <w:spacing w:lineRule="auto" w:line="360" w:before="0" w:after="0"/>
        <w:ind w:left="0" w:right="0" w:hanging="0"/>
        <w:jc w:val="both"/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Мы смоделировали нарушение изоляции электроприёмника А2 втыканием конца проводника «П» в его гнездо. На рисунке 2.2 изображена правильная работа автоматического выключателя (подтверждение защитного действия), что сигнализирует потухшая индикаторная лампа модели электроприёмника А2 и отключение автоматического выключателя А11.</w:t>
      </w:r>
    </w:p>
    <w:p>
      <w:pPr>
        <w:pStyle w:val="Normal"/>
        <w:spacing w:lineRule="auto" w:line="240" w:before="0" w:after="0"/>
        <w:ind w:left="0" w:right="0" w:hanging="0"/>
        <w:jc w:val="center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-22860</wp:posOffset>
            </wp:positionV>
            <wp:extent cx="5940425" cy="44551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>
                      <a:grayscl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position w:val="0"/>
          <w:sz w:val="28"/>
          <w:sz w:val="28"/>
          <w:szCs w:val="28"/>
          <w:vertAlign w:val="baseline"/>
        </w:rPr>
        <w:t>Рисунок 2.2 — Аппаратура для выявления защитного действия устройства при нарушении изоляции электроприёмника А2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spacing w:lineRule="auto" w:line="480" w:before="0" w:after="0"/>
        <w:ind w:left="0" w:right="0" w:hanging="0"/>
        <w:jc w:val="center"/>
        <w:rPr/>
      </w:pPr>
      <w:bookmarkStart w:id="7" w:name="__RefHeading___Toc1131_3191357202"/>
      <w:bookmarkEnd w:id="7"/>
      <w:r>
        <w:rPr>
          <w:rFonts w:cs="Times New Roman" w:ascii="Times New Roman" w:hAnsi="Times New Roman"/>
          <w:position w:val="0"/>
          <w:sz w:val="28"/>
          <w:sz w:val="28"/>
          <w:szCs w:val="28"/>
          <w:vertAlign w:val="baseline"/>
        </w:rPr>
        <w:t>Действие устройства защитного отключения без устройства защитного отключения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cs="Times New Roman" w:ascii="Times New Roman" w:hAnsi="Times New Roman"/>
          <w:position w:val="0"/>
          <w:sz w:val="28"/>
          <w:sz w:val="28"/>
          <w:szCs w:val="28"/>
          <w:vertAlign w:val="baseline"/>
        </w:rPr>
        <w:t>Мы соединили предоставленную аппаратуру в соответствии со схемой электрических соединений для выявления действия устройства защитного отключения без устройства защитного отключения. На рисунке 2.3 изображена правильно собранная аппаратура, что подтверждает загоревшаяся индикаторная лампа модели электроприёмника А4.</w:t>
      </w:r>
    </w:p>
    <w:p>
      <w:pPr>
        <w:pStyle w:val="Normal"/>
        <w:spacing w:lineRule="auto" w:line="360" w:before="0" w:after="0"/>
        <w:ind w:left="0" w:right="0" w:firstLine="709"/>
        <w:jc w:val="both"/>
        <w:rPr/>
      </w:pPr>
      <w:r>
        <w:rPr>
          <w:rFonts w:cs="Times New Roman" w:ascii="Times New Roman" w:hAnsi="Times New Roman"/>
          <w:position w:val="0"/>
          <w:sz w:val="28"/>
          <w:sz w:val="28"/>
          <w:szCs w:val="28"/>
          <w:vertAlign w:val="baseline"/>
        </w:rPr>
        <w:t>Мы смоделировали прямое прикосновение человека к частям, находящимся под напряжением, втыканием конца проводника «П» в гнездо электроприёмника А4, что также отображено на рисунке 2.3. Как видно по показаниям амперметра и вольтметра блока мультиметров Р1, напряжение прикосновения равно 227В, а сила тока, проходящего через тело человека, составляет 20,2 мА.</w:t>
      </w:r>
    </w:p>
    <w:p>
      <w:pPr>
        <w:pStyle w:val="Normal"/>
        <w:spacing w:lineRule="auto" w:line="240" w:before="0" w:after="0"/>
        <w:ind w:left="0" w:right="0" w:hanging="0"/>
        <w:jc w:val="center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455160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2.3 — Аппаратура для выявления действия устройства защитного отключения</w:t>
      </w:r>
    </w:p>
    <w:p>
      <w:pPr>
        <w:pStyle w:val="Normal"/>
        <w:spacing w:lineRule="auto" w:line="360"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spacing w:lineRule="auto" w:line="480" w:before="0" w:after="0"/>
        <w:ind w:left="0" w:right="0" w:hanging="0"/>
        <w:jc w:val="center"/>
        <w:rPr/>
      </w:pPr>
      <w:bookmarkStart w:id="8" w:name="__RefHeading___Toc1133_3191357202"/>
      <w:bookmarkEnd w:id="8"/>
      <w:r>
        <w:rPr>
          <w:rFonts w:cs="Times New Roman" w:ascii="Times New Roman" w:hAnsi="Times New Roman"/>
          <w:position w:val="0"/>
          <w:sz w:val="28"/>
          <w:sz w:val="28"/>
          <w:szCs w:val="28"/>
          <w:vertAlign w:val="baseline"/>
        </w:rPr>
        <w:t>Действие устройства защитного отключения с устройством защитного отключения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Мы соединили аппаратуру в соответствии со схемой электрических соединений для выявления действия устройства защитного отключения с устройством защитного отключения. Мы включили устройство защитного отключения А5 и автоматический выключатель А11. О правильности соединения аппаратуры свидетельствует загоревшаяся индикаторная лампа модели электроприёмника А4, что отображено на рисунке 2.4.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-7620</wp:posOffset>
            </wp:positionH>
            <wp:positionV relativeFrom="paragraph">
              <wp:posOffset>-13335</wp:posOffset>
            </wp:positionV>
            <wp:extent cx="5940425" cy="4455160"/>
            <wp:effectExtent l="0" t="0" r="0" b="0"/>
            <wp:wrapTopAndBottom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2.4 — Аппаратура для выявления действия устройства защитного отключения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Мы смоделировали прямое прикосновение человека к частям, находящимся под напряжением, втыканием конца проводника «П» в гнездо электроприёмника А4. На рисунке 2.5 видно правильную работу устройства защитного отключения А5 (подтверждение защитного действия). Таким образом, потухла индикаторная лампа модели электроприёмника А4 и сработало устройство защитного отключения А5.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455160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2.5 — Аппаратура для выявления действия защитного отключения при прямом прикосновении человека к частям, находящимся под напряжением</w:t>
      </w:r>
      <w:r>
        <w:br w:type="page"/>
      </w:r>
    </w:p>
    <w:p>
      <w:pPr>
        <w:pStyle w:val="1"/>
        <w:numPr>
          <w:ilvl w:val="0"/>
          <w:numId w:val="0"/>
        </w:numPr>
        <w:spacing w:lineRule="auto" w:line="480" w:before="0" w:after="0"/>
        <w:ind w:left="0" w:right="0" w:hanging="0"/>
        <w:rPr/>
      </w:pPr>
      <w:bookmarkStart w:id="9" w:name="__RefHeading___Toc324_2691480195"/>
      <w:bookmarkEnd w:id="9"/>
      <w:r>
        <w:rPr>
          <w:rFonts w:cs="Times New Roman" w:ascii="Times New Roman" w:hAnsi="Times New Roman"/>
          <w:sz w:val="32"/>
          <w:szCs w:val="32"/>
        </w:rPr>
        <w:t>Заключение</w:t>
      </w:r>
    </w:p>
    <w:p>
      <w:pPr>
        <w:pStyle w:val="Normal"/>
        <w:spacing w:lineRule="auto" w:line="360" w:before="0" w:after="0"/>
        <w:ind w:left="0" w:right="0" w:firstLine="709"/>
        <w:rPr/>
      </w:pPr>
      <w:r>
        <w:rPr>
          <w:rFonts w:cs="Times New Roman" w:ascii="Times New Roman" w:hAnsi="Times New Roman"/>
          <w:sz w:val="28"/>
          <w:szCs w:val="28"/>
        </w:rPr>
        <w:t xml:space="preserve">В ходе выполнения данной лабораторной работы мы изучили предоставленные теоретические материалы и провели </w:t>
      </w:r>
      <w:r>
        <w:rPr>
          <w:rFonts w:cs="Times New Roman" w:ascii="Times New Roman" w:hAnsi="Times New Roman"/>
          <w:sz w:val="28"/>
          <w:szCs w:val="28"/>
        </w:rPr>
        <w:t>некоторое</w:t>
      </w:r>
      <w:r>
        <w:rPr>
          <w:rFonts w:cs="Times New Roman" w:ascii="Times New Roman" w:hAnsi="Times New Roman"/>
          <w:sz w:val="28"/>
          <w:szCs w:val="28"/>
        </w:rPr>
        <w:t xml:space="preserve"> исследование по </w:t>
      </w:r>
      <w:r>
        <w:rPr>
          <w:rFonts w:cs="Times New Roman" w:ascii="Times New Roman" w:hAnsi="Times New Roman"/>
          <w:sz w:val="28"/>
          <w:szCs w:val="28"/>
        </w:rPr>
        <w:t>мерам защиты человека от поражения электрическим током в жилых и офисных помещениях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cs="Times New Roman" w:ascii="Times New Roman" w:hAnsi="Times New Roman"/>
          <w:sz w:val="28"/>
          <w:szCs w:val="28"/>
        </w:rPr>
        <w:t>Так, мы ознакомились с принципами работы устройства автоматического отключения питания при сверхтоках и устройства защитного отключения.</w:t>
      </w:r>
    </w:p>
    <w:p>
      <w:pPr>
        <w:pStyle w:val="Normal"/>
        <w:spacing w:lineRule="auto" w:line="360" w:before="0" w:after="0"/>
        <w:ind w:left="0" w:right="0" w:firstLine="709"/>
        <w:rPr/>
      </w:pPr>
      <w:r>
        <w:rPr>
          <w:rFonts w:cs="Times New Roman" w:ascii="Times New Roman" w:hAnsi="Times New Roman"/>
          <w:sz w:val="28"/>
          <w:szCs w:val="28"/>
        </w:rPr>
        <w:t>Исходя из главы 2 данного отчёта, можно сделать вывод, что устройства автоматического отключения питания при сверхтоках и устройства защитного отключения работают правильно.</w:t>
      </w:r>
    </w:p>
    <w:sectPr>
      <w:footerReference w:type="default" r:id="rId7"/>
      <w:type w:val="nextPage"/>
      <w:pgSz w:w="11906" w:h="16838"/>
      <w:pgMar w:left="1701" w:right="850" w:gutter="0" w:header="0" w:top="1134" w:footer="1134" w:bottom="147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Calibri Light">
    <w:charset w:val="01"/>
    <w:family w:val="roman"/>
    <w:pitch w:val="variable"/>
  </w:font>
  <w:font w:name="TimesNewRomanPSM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Noto Sans Oriya UI Thin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fldChar w:fldCharType="begin"/>
    </w:r>
    <w:r>
      <w:rPr>
        <w:sz w:val="28"/>
        <w:szCs w:val="28"/>
        <w:rFonts w:ascii="Times New Roman" w:hAnsi="Times New Roman"/>
      </w:rPr>
      <w:instrText xml:space="preserve"> PAGE </w:instrText>
    </w:r>
    <w:r>
      <w:rPr>
        <w:sz w:val="28"/>
        <w:szCs w:val="28"/>
        <w:rFonts w:ascii="Times New Roman" w:hAnsi="Times New Roman"/>
      </w:rPr>
      <w:fldChar w:fldCharType="separate"/>
    </w:r>
    <w:r>
      <w:rPr>
        <w:sz w:val="28"/>
        <w:szCs w:val="28"/>
        <w:rFonts w:ascii="Times New Roman" w:hAnsi="Times New Roman"/>
      </w:rPr>
      <w:t>14</w:t>
    </w:r>
    <w:r>
      <w:rPr>
        <w:sz w:val="28"/>
        <w:szCs w:val="28"/>
        <w:rFonts w:ascii="Times New Roman" w:hAnsi="Times New Roman"/>
      </w:rP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1"/>
      <w:numFmt w:val="decimal"/>
      <w:lvlText w:val="%1"/>
      <w:lvlJc w:val="left"/>
      <w:pPr>
        <w:tabs>
          <w:tab w:val="num" w:pos="0"/>
        </w:tabs>
        <w:ind w:left="432" w:hanging="432"/>
      </w:pPr>
      <w:rPr>
        <w:sz w:val="28"/>
        <w:szCs w:val="28"/>
        <w:rFonts w:ascii="Times New Roman" w:hAnsi="Times New Roman" w:cs="Times New Roman"/>
      </w:rPr>
    </w:lvl>
    <w:lvl w:ilvl="1">
      <w:start w:val="1"/>
      <w:pStyle w:val="2"/>
      <w:numFmt w:val="decimal"/>
      <w:lvlText w:val="%1.%2"/>
      <w:lvlJc w:val="left"/>
      <w:pPr>
        <w:tabs>
          <w:tab w:val="num" w:pos="0"/>
        </w:tabs>
        <w:ind w:left="576" w:hanging="576"/>
      </w:pPr>
      <w:rPr>
        <w:sz w:val="28"/>
        <w:szCs w:val="28"/>
        <w:rFonts w:ascii="Times New Roman" w:hAnsi="Times New Roman"/>
      </w:rPr>
    </w:lvl>
    <w:lvl w:ilvl="2">
      <w:start w:val="1"/>
      <w:pStyle w:val="3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lineRule="auto" w:line="360" w:before="0" w:after="0"/>
      <w:ind w:left="0" w:right="0" w:firstLine="567"/>
      <w:jc w:val="both"/>
    </w:pPr>
    <w:rPr>
      <w:rFonts w:ascii="Arial" w:hAnsi="Arial" w:eastAsia="Calibri" w:cs="Times New Roman"/>
      <w:color w:val="auto"/>
      <w:kern w:val="0"/>
      <w:sz w:val="24"/>
      <w:szCs w:val="32"/>
      <w:lang w:val="ru-RU" w:eastAsia="en-US" w:bidi="ar-SA"/>
    </w:rPr>
  </w:style>
  <w:style w:type="paragraph" w:styleId="1">
    <w:name w:val="Heading 1"/>
    <w:basedOn w:val="Normal"/>
    <w:next w:val="Normal"/>
    <w:link w:val="11"/>
    <w:qFormat/>
    <w:pPr>
      <w:keepNext w:val="true"/>
      <w:keepLines/>
      <w:numPr>
        <w:ilvl w:val="0"/>
        <w:numId w:val="1"/>
      </w:numPr>
      <w:spacing w:before="240" w:after="0"/>
      <w:jc w:val="center"/>
      <w:outlineLvl w:val="0"/>
    </w:pPr>
    <w:rPr>
      <w:rFonts w:eastAsia="Calibri" w:cs="DejaVu Sans"/>
      <w:b/>
      <w:color w:val="000000"/>
      <w:sz w:val="28"/>
    </w:rPr>
  </w:style>
  <w:style w:type="paragraph" w:styleId="2">
    <w:name w:val="Heading 2"/>
    <w:basedOn w:val="Normal"/>
    <w:next w:val="Normal"/>
    <w:link w:val="21"/>
    <w:qFormat/>
    <w:pPr>
      <w:keepNext w:val="true"/>
      <w:keepLines/>
      <w:numPr>
        <w:ilvl w:val="1"/>
        <w:numId w:val="1"/>
      </w:numPr>
      <w:spacing w:before="40" w:after="0"/>
      <w:outlineLvl w:val="1"/>
    </w:pPr>
    <w:rPr>
      <w:rFonts w:eastAsia="Calibri" w:cs="DejaVu Sans"/>
      <w:b/>
      <w:sz w:val="22"/>
      <w:szCs w:val="26"/>
    </w:rPr>
  </w:style>
  <w:style w:type="paragraph" w:styleId="3">
    <w:name w:val="Heading 3"/>
    <w:basedOn w:val="Normal"/>
    <w:next w:val="Normal"/>
    <w:link w:val="31"/>
    <w:qFormat/>
    <w:pPr>
      <w:keepNext w:val="true"/>
      <w:keepLines/>
      <w:numPr>
        <w:ilvl w:val="2"/>
        <w:numId w:val="1"/>
      </w:numPr>
      <w:spacing w:before="40" w:after="0"/>
      <w:outlineLvl w:val="2"/>
    </w:pPr>
    <w:rPr>
      <w:rFonts w:eastAsia="Calibri" w:cs="DejaVu Sans"/>
      <w:b/>
      <w:sz w:val="20"/>
      <w:szCs w:val="24"/>
    </w:rPr>
  </w:style>
  <w:style w:type="paragraph" w:styleId="4">
    <w:name w:val="Heading 4"/>
    <w:basedOn w:val="Normal"/>
    <w:next w:val="Normal"/>
    <w:link w:val="41"/>
    <w:qFormat/>
    <w:pPr>
      <w:keepNext w:val="true"/>
      <w:keepLines/>
      <w:numPr>
        <w:ilvl w:val="3"/>
        <w:numId w:val="1"/>
      </w:numPr>
      <w:spacing w:before="40" w:after="0"/>
      <w:outlineLvl w:val="3"/>
    </w:pPr>
    <w:rPr>
      <w:rFonts w:eastAsia="Calibri" w:cs="DejaVu Sans"/>
      <w:b/>
      <w:iCs/>
      <w:sz w:val="18"/>
    </w:rPr>
  </w:style>
  <w:style w:type="paragraph" w:styleId="5">
    <w:name w:val="Heading 5"/>
    <w:basedOn w:val="Normal"/>
    <w:next w:val="Normal"/>
    <w:link w:val="51"/>
    <w:qFormat/>
    <w:pPr>
      <w:keepNext w:val="true"/>
      <w:keepLines/>
      <w:numPr>
        <w:ilvl w:val="4"/>
        <w:numId w:val="1"/>
      </w:numPr>
      <w:spacing w:before="40" w:after="0"/>
      <w:outlineLvl w:val="4"/>
    </w:pPr>
    <w:rPr>
      <w:rFonts w:ascii="Calibri Light" w:hAnsi="Calibri Light" w:eastAsia="Calibri" w:cs="DejaVu Sans"/>
      <w:color w:val="2E74B5"/>
    </w:rPr>
  </w:style>
  <w:style w:type="paragraph" w:styleId="6">
    <w:name w:val="Heading 6"/>
    <w:basedOn w:val="Normal"/>
    <w:next w:val="Normal"/>
    <w:link w:val="61"/>
    <w:qFormat/>
    <w:pPr>
      <w:keepNext w:val="true"/>
      <w:keepLines/>
      <w:numPr>
        <w:ilvl w:val="5"/>
        <w:numId w:val="1"/>
      </w:numPr>
      <w:spacing w:before="40" w:after="0"/>
      <w:outlineLvl w:val="5"/>
    </w:pPr>
    <w:rPr>
      <w:rFonts w:ascii="Calibri Light" w:hAnsi="Calibri Light" w:eastAsia="Calibri" w:cs="DejaVu Sans"/>
      <w:color w:val="1F4D78"/>
    </w:rPr>
  </w:style>
  <w:style w:type="paragraph" w:styleId="7">
    <w:name w:val="Heading 7"/>
    <w:basedOn w:val="Normal"/>
    <w:next w:val="Normal"/>
    <w:link w:val="71"/>
    <w:qFormat/>
    <w:pPr>
      <w:keepNext w:val="true"/>
      <w:keepLines/>
      <w:numPr>
        <w:ilvl w:val="6"/>
        <w:numId w:val="1"/>
      </w:numPr>
      <w:spacing w:before="40" w:after="0"/>
      <w:outlineLvl w:val="6"/>
    </w:pPr>
    <w:rPr>
      <w:rFonts w:ascii="Calibri Light" w:hAnsi="Calibri Light" w:eastAsia="Calibri" w:cs="DejaVu Sans"/>
      <w:i/>
      <w:iCs/>
      <w:color w:val="1F4D78"/>
    </w:rPr>
  </w:style>
  <w:style w:type="paragraph" w:styleId="8">
    <w:name w:val="Heading 8"/>
    <w:basedOn w:val="Normal"/>
    <w:next w:val="Normal"/>
    <w:link w:val="81"/>
    <w:qFormat/>
    <w:pPr>
      <w:keepNext w:val="true"/>
      <w:keepLines/>
      <w:numPr>
        <w:ilvl w:val="7"/>
        <w:numId w:val="1"/>
      </w:numPr>
      <w:spacing w:before="40" w:after="0"/>
      <w:outlineLvl w:val="7"/>
    </w:pPr>
    <w:rPr>
      <w:rFonts w:ascii="Calibri Light" w:hAnsi="Calibri Light" w:eastAsia="Calibri" w:cs="DejaVu Sans"/>
      <w:color w:val="272727"/>
      <w:sz w:val="21"/>
      <w:szCs w:val="21"/>
    </w:rPr>
  </w:style>
  <w:style w:type="paragraph" w:styleId="9">
    <w:name w:val="Heading 9"/>
    <w:basedOn w:val="Normal"/>
    <w:next w:val="Normal"/>
    <w:link w:val="91"/>
    <w:qFormat/>
    <w:pPr>
      <w:keepNext w:val="true"/>
      <w:keepLines/>
      <w:numPr>
        <w:ilvl w:val="8"/>
        <w:numId w:val="1"/>
      </w:numPr>
      <w:spacing w:before="40" w:after="0"/>
      <w:outlineLvl w:val="8"/>
    </w:pPr>
    <w:rPr>
      <w:rFonts w:ascii="Calibri Light" w:hAnsi="Calibri Light" w:eastAsia="Calibri" w:cs="DejaVu Sans"/>
      <w:i/>
      <w:iCs/>
      <w:color w:val="272727"/>
      <w:sz w:val="21"/>
      <w:szCs w:val="21"/>
    </w:rPr>
  </w:style>
  <w:style w:type="character" w:styleId="DefaultParagraphFont">
    <w:name w:val="Default Paragraph Font"/>
    <w:qFormat/>
    <w:rPr/>
  </w:style>
  <w:style w:type="character" w:styleId="11">
    <w:name w:val="Заголовок 1 Знак"/>
    <w:basedOn w:val="DefaultParagraphFont"/>
    <w:qFormat/>
    <w:rPr>
      <w:rFonts w:ascii="Arial" w:hAnsi="Arial" w:eastAsia="Calibri" w:cs="DejaVu Sans"/>
      <w:b/>
      <w:color w:val="000000"/>
      <w:sz w:val="28"/>
      <w:szCs w:val="32"/>
    </w:rPr>
  </w:style>
  <w:style w:type="character" w:styleId="21">
    <w:name w:val="Заголовок 2 Знак"/>
    <w:basedOn w:val="DefaultParagraphFont"/>
    <w:qFormat/>
    <w:rPr>
      <w:rFonts w:ascii="Arial" w:hAnsi="Arial" w:eastAsia="Calibri" w:cs="DejaVu Sans"/>
      <w:b/>
      <w:szCs w:val="26"/>
    </w:rPr>
  </w:style>
  <w:style w:type="character" w:styleId="31">
    <w:name w:val="Заголовок 3 Знак"/>
    <w:basedOn w:val="DefaultParagraphFont"/>
    <w:qFormat/>
    <w:rPr>
      <w:rFonts w:ascii="Arial" w:hAnsi="Arial" w:eastAsia="Calibri" w:cs="DejaVu Sans"/>
      <w:b/>
      <w:sz w:val="20"/>
      <w:szCs w:val="24"/>
    </w:rPr>
  </w:style>
  <w:style w:type="character" w:styleId="41">
    <w:name w:val="Заголовок 4 Знак"/>
    <w:basedOn w:val="DefaultParagraphFont"/>
    <w:qFormat/>
    <w:rPr>
      <w:rFonts w:ascii="Arial" w:hAnsi="Arial" w:eastAsia="Calibri" w:cs="DejaVu Sans"/>
      <w:b/>
      <w:iCs/>
      <w:sz w:val="18"/>
      <w:szCs w:val="32"/>
    </w:rPr>
  </w:style>
  <w:style w:type="character" w:styleId="51">
    <w:name w:val="Заголовок 5 Знак"/>
    <w:basedOn w:val="DefaultParagraphFont"/>
    <w:qFormat/>
    <w:rPr>
      <w:rFonts w:ascii="Calibri Light" w:hAnsi="Calibri Light" w:eastAsia="Calibri" w:cs="DejaVu Sans"/>
      <w:color w:val="2E74B5"/>
      <w:sz w:val="24"/>
      <w:szCs w:val="32"/>
    </w:rPr>
  </w:style>
  <w:style w:type="character" w:styleId="61">
    <w:name w:val="Заголовок 6 Знак"/>
    <w:basedOn w:val="DefaultParagraphFont"/>
    <w:qFormat/>
    <w:rPr>
      <w:rFonts w:ascii="Calibri Light" w:hAnsi="Calibri Light" w:eastAsia="Calibri" w:cs="DejaVu Sans"/>
      <w:color w:val="1F4D78"/>
      <w:sz w:val="24"/>
      <w:szCs w:val="32"/>
    </w:rPr>
  </w:style>
  <w:style w:type="character" w:styleId="71">
    <w:name w:val="Заголовок 7 Знак"/>
    <w:basedOn w:val="DefaultParagraphFont"/>
    <w:qFormat/>
    <w:rPr>
      <w:rFonts w:ascii="Calibri Light" w:hAnsi="Calibri Light" w:eastAsia="Calibri" w:cs="DejaVu Sans"/>
      <w:i/>
      <w:iCs/>
      <w:color w:val="1F4D78"/>
      <w:sz w:val="24"/>
      <w:szCs w:val="32"/>
    </w:rPr>
  </w:style>
  <w:style w:type="character" w:styleId="81">
    <w:name w:val="Заголовок 8 Знак"/>
    <w:basedOn w:val="DefaultParagraphFont"/>
    <w:qFormat/>
    <w:rPr>
      <w:rFonts w:ascii="Calibri Light" w:hAnsi="Calibri Light" w:eastAsia="Calibri" w:cs="DejaVu Sans"/>
      <w:color w:val="272727"/>
      <w:sz w:val="21"/>
      <w:szCs w:val="21"/>
    </w:rPr>
  </w:style>
  <w:style w:type="character" w:styleId="91">
    <w:name w:val="Заголовок 9 Знак"/>
    <w:basedOn w:val="DefaultParagraphFont"/>
    <w:qFormat/>
    <w:rPr>
      <w:rFonts w:ascii="Calibri Light" w:hAnsi="Calibri Light" w:eastAsia="Calibri" w:cs="DejaVu Sans"/>
      <w:i/>
      <w:iCs/>
      <w:color w:val="272727"/>
      <w:sz w:val="21"/>
      <w:szCs w:val="21"/>
    </w:rPr>
  </w:style>
  <w:style w:type="character" w:styleId="Style5">
    <w:name w:val="Верхний колонтитул Знак"/>
    <w:basedOn w:val="DefaultParagraphFont"/>
    <w:qFormat/>
    <w:rPr>
      <w:rFonts w:ascii="Arial" w:hAnsi="Arial" w:cs="Times New Roman"/>
      <w:sz w:val="24"/>
      <w:szCs w:val="32"/>
    </w:rPr>
  </w:style>
  <w:style w:type="character" w:styleId="Style6">
    <w:name w:val="Нижний колонтитул Знак"/>
    <w:basedOn w:val="DefaultParagraphFont"/>
    <w:qFormat/>
    <w:rPr>
      <w:rFonts w:ascii="Arial" w:hAnsi="Arial" w:cs="Times New Roman"/>
      <w:sz w:val="24"/>
      <w:szCs w:val="32"/>
    </w:rPr>
  </w:style>
  <w:style w:type="character" w:styleId="PlaceholderText">
    <w:name w:val="Placeholder Text"/>
    <w:basedOn w:val="DefaultParagraphFont"/>
    <w:qFormat/>
    <w:rPr>
      <w:color w:val="808080"/>
    </w:rPr>
  </w:style>
  <w:style w:type="character" w:styleId="Fontstyle01">
    <w:name w:val="fontstyle01"/>
    <w:basedOn w:val="DefaultParagraphFont"/>
    <w:qFormat/>
    <w:rPr>
      <w:rFonts w:ascii="TimesNewRomanPSMT" w:hAnsi="TimesNewRomanPSMT"/>
      <w:b w:val="false"/>
      <w:bCs w:val="false"/>
      <w:i w:val="false"/>
      <w:iCs w:val="false"/>
      <w:color w:val="000000"/>
      <w:sz w:val="28"/>
      <w:szCs w:val="28"/>
    </w:rPr>
  </w:style>
  <w:style w:type="character" w:styleId="Fontstyle11">
    <w:name w:val="fontstyle11"/>
    <w:basedOn w:val="DefaultParagraphFont"/>
    <w:qFormat/>
    <w:rPr>
      <w:rFonts w:ascii="TimesNewRomanPSMT" w:hAnsi="TimesNewRomanPSMT"/>
      <w:b w:val="false"/>
      <w:bCs w:val="false"/>
      <w:i w:val="false"/>
      <w:iCs w:val="false"/>
      <w:color w:val="000000"/>
      <w:sz w:val="28"/>
      <w:szCs w:val="28"/>
    </w:rPr>
  </w:style>
  <w:style w:type="character" w:styleId="Style7">
    <w:name w:val="Символ нумерации"/>
    <w:qFormat/>
    <w:rPr>
      <w:sz w:val="28"/>
      <w:szCs w:val="28"/>
    </w:rPr>
  </w:style>
  <w:style w:type="character" w:styleId="Style8">
    <w:name w:val="Интернет-ссылка"/>
    <w:rPr>
      <w:color w:val="000080"/>
      <w:u w:val="single"/>
      <w:lang w:val="zxx" w:eastAsia="zxx" w:bidi="zxx"/>
    </w:rPr>
  </w:style>
  <w:style w:type="character" w:styleId="Style9">
    <w:name w:val="Ссылка указателя"/>
    <w:qFormat/>
    <w:rPr/>
  </w:style>
  <w:style w:type="character" w:styleId="Style10">
    <w:name w:val="Маркеры"/>
    <w:qFormat/>
    <w:rPr>
      <w:rFonts w:ascii="OpenSymbol" w:hAnsi="OpenSymbol" w:eastAsia="OpenSymbol" w:cs="OpenSymbol"/>
    </w:rPr>
  </w:style>
  <w:style w:type="paragraph" w:styleId="Style11">
    <w:name w:val="Заголовок"/>
    <w:basedOn w:val="Normal"/>
    <w:next w:val="Style12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Style12">
    <w:name w:val="Body Text"/>
    <w:basedOn w:val="Normal"/>
    <w:pPr>
      <w:spacing w:lineRule="auto" w:line="276" w:before="0" w:after="140"/>
    </w:pPr>
    <w:rPr/>
  </w:style>
  <w:style w:type="paragraph" w:styleId="Style13">
    <w:name w:val="List"/>
    <w:basedOn w:val="Style12"/>
    <w:pPr/>
    <w:rPr>
      <w:rFonts w:cs="Droid Sans Devanagari"/>
    </w:rPr>
  </w:style>
  <w:style w:type="paragraph" w:styleId="Style14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Droid Sans Devanagari"/>
      <w:lang w:val="zxx" w:eastAsia="zxx" w:bidi="zxx"/>
    </w:rPr>
  </w:style>
  <w:style w:type="paragraph" w:styleId="Style16">
    <w:name w:val="Колонтитул"/>
    <w:basedOn w:val="Normal"/>
    <w:qFormat/>
    <w:pPr/>
    <w:rPr/>
  </w:style>
  <w:style w:type="paragraph" w:styleId="Style17">
    <w:name w:val="Header"/>
    <w:basedOn w:val="Normal"/>
    <w:link w:val="Style5"/>
    <w:pPr>
      <w:tabs>
        <w:tab w:val="clear" w:pos="720"/>
        <w:tab w:val="center" w:pos="4677" w:leader="none"/>
        <w:tab w:val="right" w:pos="9355" w:leader="none"/>
      </w:tabs>
      <w:spacing w:lineRule="auto" w:line="240"/>
    </w:pPr>
    <w:rPr/>
  </w:style>
  <w:style w:type="paragraph" w:styleId="Style18">
    <w:name w:val="Footer"/>
    <w:basedOn w:val="Normal"/>
    <w:link w:val="Style6"/>
    <w:pPr>
      <w:tabs>
        <w:tab w:val="clear" w:pos="720"/>
        <w:tab w:val="center" w:pos="4677" w:leader="none"/>
        <w:tab w:val="right" w:pos="9355" w:leader="none"/>
      </w:tabs>
      <w:spacing w:lineRule="auto" w:line="360"/>
      <w:ind w:left="0" w:right="0" w:hanging="0"/>
      <w:jc w:val="center"/>
    </w:pPr>
    <w:rPr/>
  </w:style>
  <w:style w:type="paragraph" w:styleId="ListParagraph">
    <w:name w:val="List Paragraph"/>
    <w:basedOn w:val="Normal"/>
    <w:qFormat/>
    <w:pPr>
      <w:spacing w:before="0" w:after="0"/>
      <w:ind w:left="720" w:right="0" w:firstLine="567"/>
      <w:contextualSpacing/>
    </w:pPr>
    <w:rPr/>
  </w:style>
  <w:style w:type="paragraph" w:styleId="Caption">
    <w:name w:val="caption"/>
    <w:basedOn w:val="Normal"/>
    <w:next w:val="Normal"/>
    <w:qFormat/>
    <w:pPr>
      <w:spacing w:lineRule="auto" w:line="240" w:before="0" w:after="200"/>
    </w:pPr>
    <w:rPr>
      <w:i/>
      <w:iCs/>
      <w:color w:val="44546A"/>
      <w:sz w:val="18"/>
      <w:szCs w:val="18"/>
    </w:rPr>
  </w:style>
  <w:style w:type="paragraph" w:styleId="NormalWeb">
    <w:name w:val="Normal (Web)"/>
    <w:basedOn w:val="Normal"/>
    <w:qFormat/>
    <w:pPr>
      <w:spacing w:lineRule="auto" w:line="240" w:before="280" w:after="280"/>
      <w:ind w:left="0" w:right="0" w:hanging="0"/>
      <w:jc w:val="left"/>
    </w:pPr>
    <w:rPr>
      <w:rFonts w:ascii="Times New Roman" w:hAnsi="Times New Roman" w:eastAsia="Times New Roman"/>
      <w:szCs w:val="24"/>
      <w:lang w:eastAsia="ru-RU"/>
    </w:rPr>
  </w:style>
  <w:style w:type="paragraph" w:styleId="Style19">
    <w:name w:val="Свой"/>
    <w:basedOn w:val="Normal"/>
    <w:qFormat/>
    <w:pPr>
      <w:widowControl/>
      <w:numPr>
        <w:ilvl w:val="0"/>
        <w:numId w:val="2"/>
      </w:numPr>
      <w:suppressAutoHyphens w:val="true"/>
      <w:bidi w:val="0"/>
      <w:spacing w:lineRule="auto" w:line="360" w:before="0" w:after="0"/>
      <w:ind w:left="0" w:right="0" w:firstLine="709"/>
      <w:jc w:val="center"/>
      <w:outlineLvl w:val="0"/>
    </w:pPr>
    <w:rPr>
      <w:rFonts w:ascii="Times New Roman" w:hAnsi="Times New Roman"/>
      <w:b/>
      <w:color w:val="000000"/>
    </w:rPr>
  </w:style>
  <w:style w:type="paragraph" w:styleId="Style20">
    <w:name w:val="Стиль для Тсиса"/>
    <w:basedOn w:val="Style19"/>
    <w:qFormat/>
    <w:pPr>
      <w:widowControl/>
      <w:numPr>
        <w:ilvl w:val="0"/>
        <w:numId w:val="2"/>
      </w:numPr>
      <w:suppressAutoHyphens w:val="true"/>
      <w:bidi w:val="0"/>
      <w:spacing w:lineRule="auto" w:line="360" w:before="0" w:after="0"/>
      <w:ind w:left="0" w:right="0" w:firstLine="709"/>
      <w:jc w:val="center"/>
    </w:pPr>
    <w:rPr/>
  </w:style>
  <w:style w:type="paragraph" w:styleId="Style21">
    <w:name w:val="Index Heading"/>
    <w:basedOn w:val="Style11"/>
    <w:pPr>
      <w:suppressLineNumbers/>
      <w:ind w:left="0" w:right="0" w:hanging="0"/>
    </w:pPr>
    <w:rPr>
      <w:b/>
      <w:bCs/>
      <w:sz w:val="32"/>
      <w:szCs w:val="32"/>
    </w:rPr>
  </w:style>
  <w:style w:type="paragraph" w:styleId="Style22">
    <w:name w:val="TOC Heading"/>
    <w:basedOn w:val="Style21"/>
    <w:pPr>
      <w:suppressLineNumbers/>
      <w:ind w:left="0" w:right="0" w:hanging="0"/>
    </w:pPr>
    <w:rPr>
      <w:b/>
      <w:bCs/>
      <w:sz w:val="32"/>
      <w:szCs w:val="32"/>
    </w:rPr>
  </w:style>
  <w:style w:type="paragraph" w:styleId="12">
    <w:name w:val="TOC 1"/>
    <w:basedOn w:val="Style15"/>
    <w:pPr>
      <w:tabs>
        <w:tab w:val="clear" w:pos="720"/>
        <w:tab w:val="right" w:pos="9638" w:leader="dot"/>
      </w:tabs>
      <w:ind w:left="0" w:right="0" w:hanging="0"/>
    </w:pPr>
    <w:rPr/>
  </w:style>
  <w:style w:type="paragraph" w:styleId="22">
    <w:name w:val="TOC 2"/>
    <w:basedOn w:val="Style15"/>
    <w:pPr>
      <w:tabs>
        <w:tab w:val="clear" w:pos="720"/>
        <w:tab w:val="right" w:pos="9355" w:leader="dot"/>
      </w:tabs>
      <w:ind w:left="283" w:right="0" w:hanging="0"/>
    </w:pPr>
    <w:rPr/>
  </w:style>
  <w:style w:type="paragraph" w:styleId="Style23">
    <w:name w:val="Содержимое таблицы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Calibri" w:hAnsi="Calibri" w:eastAsia="Calibri" w:cs="DejaVu Sans"/>
      <w:color w:val="auto"/>
      <w:kern w:val="0"/>
      <w:sz w:val="22"/>
      <w:szCs w:val="22"/>
      <w:lang w:val="ru-RU" w:eastAsia="en-US" w:bidi="ar-SA"/>
    </w:rPr>
  </w:style>
  <w:style w:type="paragraph" w:styleId="Style24">
    <w:name w:val="Заголовок таблицы"/>
    <w:basedOn w:val="Style23"/>
    <w:qFormat/>
    <w:pPr>
      <w:suppressLineNumbers/>
      <w:jc w:val="center"/>
    </w:pPr>
    <w:rPr>
      <w:b/>
      <w:bCs/>
    </w:rPr>
  </w:style>
  <w:style w:type="paragraph" w:styleId="Style25">
    <w:name w:val="Таблица"/>
    <w:basedOn w:val="Style14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oter" Target="footer1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7828</TotalTime>
  <Application>LibreOffice/7.3.6.2$Linux_X86_64 LibreOffice_project/30$Build-2</Application>
  <AppVersion>15.0000</AppVersion>
  <Pages>14</Pages>
  <Words>1521</Words>
  <Characters>11056</Characters>
  <CharactersWithSpaces>12447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2020-10-17T08:08:00Z</dcterms:created>
  <dc:creator>Пользователь Windows</dc:creator>
  <dc:description/>
  <dc:language>ru-RU</dc:language>
  <cp:lastModifiedBy/>
  <dcterms:modified xsi:type="dcterms:W3CDTF">2022-10-23T00:28:34Z</dcterms:modified>
  <cp:revision>447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